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388" w:rsidRPr="00122924" w:rsidRDefault="00C27388" w:rsidP="00C2738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29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</w:t>
      </w:r>
    </w:p>
    <w:p w:rsidR="00EC6EA0" w:rsidRPr="00C91C91" w:rsidRDefault="00EC6EA0" w:rsidP="00EC6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C91C91">
        <w:rPr>
          <w:rFonts w:ascii="Times New Roman" w:eastAsia="Calibri" w:hAnsi="Times New Roman" w:cs="Times New Roman"/>
          <w:b/>
          <w:sz w:val="27"/>
          <w:szCs w:val="27"/>
        </w:rPr>
        <w:t>ИНФОРМАЦИЯ</w:t>
      </w:r>
    </w:p>
    <w:p w:rsidR="00EC6EA0" w:rsidRPr="00C91C91" w:rsidRDefault="00EC6EA0" w:rsidP="00EC6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C91C91">
        <w:rPr>
          <w:rFonts w:ascii="Times New Roman" w:eastAsia="Calibri" w:hAnsi="Times New Roman" w:cs="Times New Roman"/>
          <w:b/>
          <w:sz w:val="27"/>
          <w:szCs w:val="27"/>
        </w:rPr>
        <w:t>о деятельности в области противодействия коррупци</w:t>
      </w:r>
      <w:bookmarkStart w:id="0" w:name="_GoBack"/>
      <w:bookmarkEnd w:id="0"/>
      <w:r w:rsidRPr="00C91C91">
        <w:rPr>
          <w:rFonts w:ascii="Times New Roman" w:eastAsia="Calibri" w:hAnsi="Times New Roman" w:cs="Times New Roman"/>
          <w:b/>
          <w:sz w:val="27"/>
          <w:szCs w:val="27"/>
        </w:rPr>
        <w:t xml:space="preserve">и в </w:t>
      </w:r>
    </w:p>
    <w:p w:rsidR="00EC6EA0" w:rsidRPr="0016704A" w:rsidRDefault="0094087B" w:rsidP="00EC6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087B">
        <w:rPr>
          <w:rFonts w:ascii="Times New Roman" w:eastAsia="Calibri" w:hAnsi="Times New Roman" w:cs="Times New Roman"/>
          <w:b/>
          <w:sz w:val="28"/>
          <w:szCs w:val="28"/>
          <w:u w:val="single"/>
        </w:rPr>
        <w:t>Борцовском сельсовете Тогучинского района</w:t>
      </w:r>
      <w:r w:rsidR="00EC6EA0" w:rsidRPr="001670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12C02">
        <w:rPr>
          <w:rFonts w:ascii="Times New Roman" w:eastAsia="Calibri" w:hAnsi="Times New Roman" w:cs="Times New Roman"/>
          <w:b/>
          <w:sz w:val="27"/>
          <w:szCs w:val="27"/>
        </w:rPr>
        <w:t>Новосибирской области в 2020</w:t>
      </w:r>
      <w:r w:rsidR="00EC6EA0" w:rsidRPr="00C91C91">
        <w:rPr>
          <w:rFonts w:ascii="Times New Roman" w:eastAsia="Calibri" w:hAnsi="Times New Roman" w:cs="Times New Roman"/>
          <w:b/>
          <w:sz w:val="27"/>
          <w:szCs w:val="27"/>
        </w:rPr>
        <w:t xml:space="preserve"> году</w:t>
      </w:r>
    </w:p>
    <w:p w:rsidR="00EC6EA0" w:rsidRPr="0016704A" w:rsidRDefault="00EC6EA0" w:rsidP="00EC6EA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Calibri" w:hAnsi="Times New Roman" w:cs="Times New Roman"/>
          <w:sz w:val="20"/>
          <w:szCs w:val="20"/>
        </w:rPr>
      </w:pPr>
      <w:r w:rsidRPr="0016704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6704A">
        <w:rPr>
          <w:rFonts w:ascii="Times New Roman" w:eastAsia="Calibri" w:hAnsi="Times New Roman" w:cs="Times New Roman"/>
          <w:sz w:val="20"/>
          <w:szCs w:val="20"/>
        </w:rPr>
        <w:t xml:space="preserve">              </w:t>
      </w:r>
      <w:r w:rsidRPr="0016704A">
        <w:rPr>
          <w:rFonts w:ascii="Times New Roman" w:eastAsia="Calibri" w:hAnsi="Times New Roman" w:cs="Times New Roman"/>
          <w:sz w:val="20"/>
          <w:szCs w:val="20"/>
        </w:rPr>
        <w:t>наименование муниципального района (городского округа)</w:t>
      </w:r>
    </w:p>
    <w:p w:rsidR="00EC6EA0" w:rsidRPr="0016704A" w:rsidRDefault="00EC6EA0" w:rsidP="00CE7C6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7065"/>
        <w:gridCol w:w="22"/>
        <w:gridCol w:w="7797"/>
      </w:tblGrid>
      <w:tr w:rsidR="00136305" w:rsidRPr="00122924" w:rsidTr="00BD5B72">
        <w:trPr>
          <w:trHeight w:val="42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6305" w:rsidRPr="00122924" w:rsidRDefault="00136305" w:rsidP="0034213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36305" w:rsidRPr="00122924" w:rsidRDefault="00136305" w:rsidP="00C57AC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2292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Запрашиваемая информация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36305" w:rsidRPr="00122924" w:rsidRDefault="00136305" w:rsidP="0016704A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2292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И</w:t>
            </w:r>
            <w:r w:rsidR="00FE6FE8" w:rsidRPr="0012292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нформация</w:t>
            </w:r>
            <w:r w:rsidRPr="0012292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</w:t>
            </w:r>
            <w:r w:rsidR="00003D10" w:rsidRPr="0012292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муниципального района (городского округа)</w:t>
            </w:r>
          </w:p>
        </w:tc>
      </w:tr>
      <w:tr w:rsidR="00EC6EA0" w:rsidRPr="00122924" w:rsidTr="00B25508">
        <w:trPr>
          <w:trHeight w:val="31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C6EA0" w:rsidRPr="00122924" w:rsidRDefault="001F4EC0" w:rsidP="00EC6EA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229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EC6EA0" w:rsidRPr="00122924" w:rsidRDefault="00EC6EA0" w:rsidP="005D7BE0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1229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 итогах проведения </w:t>
            </w:r>
            <w:r w:rsidRPr="0058757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антикоррупционной экспертизы</w:t>
            </w:r>
            <w:r w:rsidRPr="001229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муниципальных нормативных правовых актов, их проектов</w:t>
            </w:r>
            <w:r w:rsidR="005D7B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в том числе</w:t>
            </w:r>
            <w:r w:rsidRPr="001229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</w:p>
        </w:tc>
      </w:tr>
      <w:tr w:rsidR="004A39C9" w:rsidRPr="00122924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39C9" w:rsidRPr="00122924" w:rsidRDefault="004A39C9" w:rsidP="001F4EC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229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1.1.</w:t>
            </w:r>
          </w:p>
        </w:tc>
        <w:tc>
          <w:tcPr>
            <w:tcW w:w="7065" w:type="dxa"/>
            <w:shd w:val="clear" w:color="auto" w:fill="auto"/>
          </w:tcPr>
          <w:p w:rsidR="004A39C9" w:rsidRPr="00122924" w:rsidRDefault="004A39C9" w:rsidP="00587576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2924">
              <w:rPr>
                <w:rFonts w:ascii="Times New Roman" w:eastAsia="Times New Roman" w:hAnsi="Times New Roman" w:cs="Times New Roman"/>
                <w:sz w:val="27"/>
                <w:szCs w:val="27"/>
              </w:rPr>
              <w:t>о количестве поступивших в адрес органов местного самоуправления муниципального района и поселений, входящих в его состав (с указанием наименовани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й</w:t>
            </w:r>
            <w:r w:rsidRPr="0012292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поселений), (в адрес органов местного самоуправления городского округа), актов прокурорского реагирования, содержащих указание на наличие в нормативных правовых актах (их проектах) </w:t>
            </w:r>
            <w:proofErr w:type="spellStart"/>
            <w:r w:rsidRPr="00122924">
              <w:rPr>
                <w:rFonts w:ascii="Times New Roman" w:eastAsia="Times New Roman" w:hAnsi="Times New Roman" w:cs="Times New Roman"/>
                <w:sz w:val="27"/>
                <w:szCs w:val="27"/>
              </w:rPr>
              <w:t>коррупциогенных</w:t>
            </w:r>
            <w:proofErr w:type="spellEnd"/>
            <w:r w:rsidRPr="0012292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факторов (с указанием количества </w:t>
            </w:r>
            <w:proofErr w:type="spellStart"/>
            <w:r w:rsidRPr="00122924">
              <w:rPr>
                <w:rFonts w:ascii="Times New Roman" w:eastAsia="Times New Roman" w:hAnsi="Times New Roman" w:cs="Times New Roman"/>
                <w:sz w:val="27"/>
                <w:szCs w:val="27"/>
              </w:rPr>
              <w:t>коррупциогенных</w:t>
            </w:r>
            <w:proofErr w:type="spellEnd"/>
            <w:r w:rsidRPr="0012292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факторов);</w:t>
            </w:r>
          </w:p>
        </w:tc>
        <w:tc>
          <w:tcPr>
            <w:tcW w:w="7819" w:type="dxa"/>
            <w:gridSpan w:val="2"/>
            <w:shd w:val="clear" w:color="auto" w:fill="FFFFFF" w:themeFill="background1"/>
          </w:tcPr>
          <w:p w:rsidR="004A39C9" w:rsidRPr="00D934B5" w:rsidRDefault="00EF3BFE" w:rsidP="007D3057">
            <w:pPr>
              <w:jc w:val="both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A39C9" w:rsidRPr="00D93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 прокурорского</w:t>
            </w:r>
            <w:r w:rsidR="004A39C9" w:rsidRPr="00D934B5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="004A39C9" w:rsidRPr="00D934B5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реагирования,</w:t>
            </w:r>
            <w:r w:rsidR="004A39C9" w:rsidRPr="00D934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="004A39C9" w:rsidRPr="00D934B5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содержащих</w:t>
            </w:r>
            <w:proofErr w:type="gramEnd"/>
            <w:r w:rsidR="004A39C9" w:rsidRPr="00D934B5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указание на наличие в нормативных правовых актах (их проектах) </w:t>
            </w:r>
            <w:proofErr w:type="spellStart"/>
            <w:r w:rsidR="004A39C9" w:rsidRPr="00D934B5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коррупциогенных</w:t>
            </w:r>
            <w:proofErr w:type="spellEnd"/>
            <w:r w:rsidR="004A39C9" w:rsidRPr="00D934B5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факторов,  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4A39C9" w:rsidRPr="00D934B5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proofErr w:type="spellStart"/>
            <w:r w:rsidR="004A39C9" w:rsidRPr="00D934B5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коррупциогенных</w:t>
            </w:r>
            <w:proofErr w:type="spellEnd"/>
            <w:r w:rsidR="004A39C9" w:rsidRPr="00D934B5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факторов</w:t>
            </w:r>
          </w:p>
          <w:p w:rsidR="004A39C9" w:rsidRPr="00D934B5" w:rsidRDefault="004A39C9" w:rsidP="007D3057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934B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  <w:p w:rsidR="004A39C9" w:rsidRPr="00D934B5" w:rsidRDefault="004A39C9" w:rsidP="007D30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39C9" w:rsidRPr="00D934B5" w:rsidRDefault="004A39C9" w:rsidP="007D30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39C9" w:rsidRPr="00122924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39C9" w:rsidRPr="00F802D0" w:rsidRDefault="004A39C9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802D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1.2.</w:t>
            </w:r>
          </w:p>
        </w:tc>
        <w:tc>
          <w:tcPr>
            <w:tcW w:w="7065" w:type="dxa"/>
            <w:shd w:val="clear" w:color="auto" w:fill="auto"/>
          </w:tcPr>
          <w:p w:rsidR="004A39C9" w:rsidRPr="00F802D0" w:rsidRDefault="004A39C9" w:rsidP="005D7BE0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802D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 результатах рассмотрения актов прокурорского реагирования (с указанием количества устраненных </w:t>
            </w:r>
            <w:proofErr w:type="spellStart"/>
            <w:r w:rsidRPr="00F802D0">
              <w:rPr>
                <w:rFonts w:ascii="Times New Roman" w:eastAsia="Times New Roman" w:hAnsi="Times New Roman" w:cs="Times New Roman"/>
                <w:sz w:val="27"/>
                <w:szCs w:val="27"/>
              </w:rPr>
              <w:t>коррупциогенных</w:t>
            </w:r>
            <w:proofErr w:type="spellEnd"/>
            <w:r w:rsidRPr="00F802D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факторов либо причин их </w:t>
            </w:r>
            <w:proofErr w:type="spellStart"/>
            <w:r w:rsidRPr="00F802D0">
              <w:rPr>
                <w:rFonts w:ascii="Times New Roman" w:eastAsia="Times New Roman" w:hAnsi="Times New Roman" w:cs="Times New Roman"/>
                <w:sz w:val="27"/>
                <w:szCs w:val="27"/>
              </w:rPr>
              <w:t>неустранения</w:t>
            </w:r>
            <w:proofErr w:type="spellEnd"/>
            <w:r w:rsidRPr="00F802D0">
              <w:rPr>
                <w:rFonts w:ascii="Times New Roman" w:eastAsia="Times New Roman" w:hAnsi="Times New Roman" w:cs="Times New Roman"/>
                <w:sz w:val="27"/>
                <w:szCs w:val="27"/>
              </w:rPr>
              <w:t>).</w:t>
            </w:r>
          </w:p>
        </w:tc>
        <w:tc>
          <w:tcPr>
            <w:tcW w:w="7819" w:type="dxa"/>
            <w:gridSpan w:val="2"/>
            <w:shd w:val="clear" w:color="auto" w:fill="FFFFFF" w:themeFill="background1"/>
          </w:tcPr>
          <w:p w:rsidR="004A39C9" w:rsidRPr="00122924" w:rsidRDefault="004A39C9" w:rsidP="005D7BE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4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результатам рассмотрения актов прокуро</w:t>
            </w:r>
            <w:r w:rsidR="00B439DD" w:rsidRPr="00B4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рского </w:t>
            </w:r>
            <w:proofErr w:type="gramStart"/>
            <w:r w:rsidR="00B439DD" w:rsidRPr="00B4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реагирования  </w:t>
            </w:r>
            <w:r w:rsidRPr="00B4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4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НПА (проектах) </w:t>
            </w:r>
            <w:proofErr w:type="spellStart"/>
            <w:r w:rsidRPr="00B4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B4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</w:t>
            </w:r>
            <w:r w:rsidR="00B439DD" w:rsidRPr="00B4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акторы не были выявлены</w:t>
            </w:r>
          </w:p>
        </w:tc>
      </w:tr>
      <w:tr w:rsidR="004A39C9" w:rsidRPr="00122924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4A39C9" w:rsidRPr="00122924" w:rsidRDefault="004A39C9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Pr="001229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4A39C9" w:rsidRPr="00122924" w:rsidRDefault="004A39C9" w:rsidP="00587576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представлении  в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2020</w:t>
            </w:r>
            <w:r w:rsidRPr="001229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году сведений о доходах, об имуществе и обязательствах имущественного характера (далее – сведения о доходах) руководителями </w:t>
            </w:r>
            <w:r w:rsidRPr="0058757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муниципальных учреждений</w:t>
            </w:r>
            <w:r w:rsidRPr="001229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подведомственных органу местного самоуправления (далее также </w:t>
            </w:r>
            <w:r w:rsidRPr="001229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noBreakHyphen/>
              <w:t xml:space="preserve"> учреждения), а также гражданами, претендующими на замещение должностей руководителей учреждений, с указанием:</w:t>
            </w:r>
          </w:p>
        </w:tc>
      </w:tr>
      <w:tr w:rsidR="004A39C9" w:rsidRPr="00122924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39C9" w:rsidRPr="00122924" w:rsidRDefault="004A39C9" w:rsidP="00587576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Pr="001229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.1.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39C9" w:rsidRDefault="004A39C9" w:rsidP="007A7B6A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2924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:</w:t>
            </w:r>
          </w:p>
          <w:p w:rsidR="004A39C9" w:rsidRDefault="004A39C9" w:rsidP="007A7B6A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1) </w:t>
            </w:r>
            <w:r w:rsidRPr="0012292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граждан, поступающих на должности руководителей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учреждений, представивших в 2020</w:t>
            </w:r>
            <w:r w:rsidRPr="0012292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году сведения</w:t>
            </w:r>
            <w:r w:rsidRPr="0012292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о доходах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/не представивших указанные сведения;</w:t>
            </w:r>
          </w:p>
          <w:p w:rsidR="004A39C9" w:rsidRPr="00122924" w:rsidRDefault="004A39C9" w:rsidP="00E72F74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2) с</w:t>
            </w:r>
            <w:r w:rsidRPr="00122924">
              <w:rPr>
                <w:rFonts w:ascii="Times New Roman" w:eastAsia="Calibri" w:hAnsi="Times New Roman" w:cs="Times New Roman"/>
                <w:sz w:val="27"/>
                <w:szCs w:val="27"/>
              </w:rPr>
              <w:t>правок о доходах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, представленных в 2020 году указанными гражданами</w:t>
            </w:r>
            <w:r w:rsidRPr="00122924">
              <w:rPr>
                <w:rFonts w:ascii="Times New Roman" w:eastAsia="Calibri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A39C9" w:rsidRPr="00D934B5" w:rsidRDefault="004A39C9" w:rsidP="004A39C9">
            <w:pPr>
              <w:pStyle w:val="a9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3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лиц замещающих должности руководителей </w:t>
            </w:r>
            <w:proofErr w:type="gramStart"/>
            <w:r w:rsidRPr="00D93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  -</w:t>
            </w:r>
            <w:proofErr w:type="gramEnd"/>
            <w:r w:rsidRPr="00D93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из них обязанных представлять и предоставивших сведения о доходах в рамках декларационной кампании 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D93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1,   </w:t>
            </w:r>
          </w:p>
          <w:p w:rsidR="004A39C9" w:rsidRPr="00122924" w:rsidRDefault="004A39C9" w:rsidP="00EF3BF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D93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справок 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F3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 ед. в том числе </w:t>
            </w:r>
            <w:proofErr w:type="gramStart"/>
            <w:r w:rsidR="00EF3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r w:rsidRPr="00D93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F3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несовершеннолетних</w:t>
            </w:r>
            <w:proofErr w:type="gramEnd"/>
            <w:r w:rsidR="00EF3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2 </w:t>
            </w:r>
            <w:r w:rsidRPr="00D93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4A39C9" w:rsidRPr="00122924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39C9" w:rsidRPr="00122924" w:rsidRDefault="004A39C9" w:rsidP="00D2140E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</w:t>
            </w:r>
            <w:r w:rsidRPr="001229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39C9" w:rsidRPr="00122924" w:rsidRDefault="004A39C9" w:rsidP="00710AE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2292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результатов анализа сведений о доходах, представленных 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руководителями учреждений в рамках декларационной кампании 2020 года, и лицами, указанными в пункте 2.1 настоящей формы запроса (</w:t>
            </w:r>
            <w:r w:rsidRPr="001229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указанием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того, доводилась ли подготовленная по результатам анализа информация до сведения руководителя соответствующего органа местного самоуправления, а также результатов ее рассмотрения</w:t>
            </w:r>
            <w:r w:rsidRPr="001229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  <w:r w:rsidRPr="00122924">
              <w:rPr>
                <w:rFonts w:ascii="Times New Roman" w:eastAsia="Calibri" w:hAnsi="Times New Roman" w:cs="Times New Roman"/>
                <w:sz w:val="27"/>
                <w:szCs w:val="27"/>
              </w:rPr>
              <w:t>;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A39C9" w:rsidRPr="00D934B5" w:rsidRDefault="004A39C9" w:rsidP="004A39C9">
            <w:pPr>
              <w:tabs>
                <w:tab w:val="left" w:pos="1140"/>
              </w:tabs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4B5">
              <w:rPr>
                <w:rFonts w:ascii="Times New Roman" w:hAnsi="Times New Roman"/>
                <w:sz w:val="24"/>
                <w:szCs w:val="24"/>
              </w:rPr>
              <w:t>По результатам анализа сведений о доходах, представленных руководителем учреждения в ходе декларационной кампании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934B5">
              <w:rPr>
                <w:rFonts w:ascii="Times New Roman" w:hAnsi="Times New Roman"/>
                <w:sz w:val="24"/>
                <w:szCs w:val="24"/>
              </w:rPr>
              <w:t xml:space="preserve"> года подготовлена справка. О</w:t>
            </w:r>
            <w:r w:rsidRPr="00D934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бстоятельства, позволяющие усомниться в достоверности данных </w:t>
            </w:r>
            <w:r w:rsidRPr="00D934B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сведений не выявлены.</w:t>
            </w:r>
          </w:p>
          <w:p w:rsidR="004A39C9" w:rsidRPr="00122924" w:rsidRDefault="004A39C9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</w:p>
        </w:tc>
      </w:tr>
      <w:tr w:rsidR="004A39C9" w:rsidRPr="00122924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39C9" w:rsidRPr="00122924" w:rsidRDefault="004A39C9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Pr="001229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.3.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39C9" w:rsidRPr="00BD73F8" w:rsidRDefault="004A39C9" w:rsidP="00D2140E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D73F8">
              <w:rPr>
                <w:rFonts w:ascii="Times New Roman" w:eastAsia="Calibri" w:hAnsi="Times New Roman" w:cs="Times New Roman"/>
                <w:sz w:val="27"/>
                <w:szCs w:val="27"/>
              </w:rPr>
              <w:t>количества</w:t>
            </w:r>
            <w:r w:rsidRPr="00BD73F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BD73F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проверок </w:t>
            </w:r>
            <w:r w:rsidRPr="00BD73F8">
              <w:rPr>
                <w:rFonts w:ascii="Times New Roman" w:hAnsi="Times New Roman" w:cs="Times New Roman"/>
                <w:sz w:val="27"/>
                <w:szCs w:val="27"/>
              </w:rPr>
              <w:t>достоверности и полноты сведений о доходах, представленных</w:t>
            </w:r>
            <w:r w:rsidRPr="00BD73F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руководителями учреждений и лицами, указанными в пункте </w:t>
            </w:r>
            <w:proofErr w:type="gramStart"/>
            <w:r w:rsidRPr="00BD73F8">
              <w:rPr>
                <w:rFonts w:ascii="Times New Roman" w:eastAsia="Calibri" w:hAnsi="Times New Roman" w:cs="Times New Roman"/>
                <w:sz w:val="27"/>
                <w:szCs w:val="27"/>
              </w:rPr>
              <w:t>2.1  настоящей</w:t>
            </w:r>
            <w:proofErr w:type="gramEnd"/>
            <w:r w:rsidRPr="00BD73F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формы запроса;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A39C9" w:rsidRPr="00BD73F8" w:rsidRDefault="00BD73F8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D73F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4A39C9" w:rsidRPr="00122924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39C9" w:rsidRPr="00122924" w:rsidRDefault="004A39C9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Pr="001229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.4.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39C9" w:rsidRDefault="004A39C9" w:rsidP="007A7B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к</w:t>
            </w:r>
            <w:r w:rsidRPr="00122924">
              <w:rPr>
                <w:rFonts w:ascii="Times New Roman" w:eastAsia="Calibri" w:hAnsi="Times New Roman" w:cs="Times New Roman"/>
                <w:sz w:val="27"/>
                <w:szCs w:val="27"/>
              </w:rPr>
              <w:t>оличества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:</w:t>
            </w:r>
          </w:p>
          <w:p w:rsidR="004A39C9" w:rsidRPr="00122924" w:rsidRDefault="004A39C9" w:rsidP="007A7B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1) </w:t>
            </w:r>
            <w:r w:rsidRPr="0012292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дисциплинарных взысканий, примененных к </w:t>
            </w:r>
            <w:r w:rsidRPr="00122924">
              <w:rPr>
                <w:rFonts w:ascii="Times New Roman" w:eastAsia="Calibri" w:hAnsi="Times New Roman" w:cs="Times New Roman"/>
                <w:sz w:val="27"/>
                <w:szCs w:val="27"/>
              </w:rPr>
              <w:t>руководителям учреждений за совершение коррупционных правонарушений указанием:</w:t>
            </w:r>
          </w:p>
          <w:p w:rsidR="004A39C9" w:rsidRPr="00122924" w:rsidRDefault="004A39C9" w:rsidP="007A7B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22924">
              <w:rPr>
                <w:rFonts w:ascii="Times New Roman" w:eastAsia="Calibri" w:hAnsi="Times New Roman" w:cs="Times New Roman"/>
                <w:sz w:val="27"/>
                <w:szCs w:val="27"/>
              </w:rPr>
              <w:noBreakHyphen/>
              <w:t> количества руководителей, к которым взыскания применялись без проведения проверки;</w:t>
            </w:r>
          </w:p>
          <w:p w:rsidR="004A39C9" w:rsidRDefault="004A39C9" w:rsidP="007A7B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22924">
              <w:rPr>
                <w:rFonts w:ascii="Times New Roman" w:eastAsia="Calibri" w:hAnsi="Times New Roman" w:cs="Times New Roman"/>
                <w:sz w:val="27"/>
                <w:szCs w:val="27"/>
              </w:rPr>
              <w:noBreakHyphen/>
              <w:t> вида примененного взыскания в каждом случае (вид взыскания/количество руководителей, к которым оно применено);</w:t>
            </w:r>
          </w:p>
          <w:p w:rsidR="004A39C9" w:rsidRDefault="004A39C9" w:rsidP="007A7B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122924">
              <w:rPr>
                <w:rFonts w:ascii="Times New Roman" w:eastAsia="Calibri" w:hAnsi="Times New Roman" w:cs="Times New Roman"/>
                <w:sz w:val="27"/>
                <w:szCs w:val="27"/>
              </w:rPr>
              <w:t>2) отказов в назначении на должности руководителей учреждений граждан, не исполнивших обязанность представления сведений о доходах;</w:t>
            </w:r>
          </w:p>
          <w:p w:rsidR="004A39C9" w:rsidRPr="00122924" w:rsidRDefault="004A39C9" w:rsidP="007A7B6A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3) руководителей, в отношении которых выявлены нарушения при представлении ими сведений о доходах, однако решения о проведении проверок, о применении дисциплинарных взысканий не принимались (с указанием иных принятых мер).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D73F8" w:rsidRPr="00D934B5" w:rsidRDefault="00BD73F8" w:rsidP="00BD73F8">
            <w:pPr>
              <w:jc w:val="both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D934B5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1) 0 - дисциплинарных взысканий, примененных к</w:t>
            </w:r>
          </w:p>
          <w:p w:rsidR="00BD73F8" w:rsidRPr="00D934B5" w:rsidRDefault="00BD73F8" w:rsidP="00BD73F8">
            <w:pPr>
              <w:jc w:val="both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D934B5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руководителям учреждений за совершение коррупционных</w:t>
            </w:r>
          </w:p>
          <w:p w:rsidR="00BD73F8" w:rsidRPr="00D934B5" w:rsidRDefault="00BD73F8" w:rsidP="00BD73F8">
            <w:pPr>
              <w:jc w:val="both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D934B5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правонарушений:</w:t>
            </w:r>
          </w:p>
          <w:p w:rsidR="004A39C9" w:rsidRPr="00122924" w:rsidRDefault="00BD73F8" w:rsidP="00BD73F8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D934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D934B5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2) 0 - отказов в назначении на должности руководителей</w:t>
            </w:r>
            <w:r w:rsidRPr="00D934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D934B5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учреждений граждан, не исполнивших обязанность</w:t>
            </w:r>
            <w:r w:rsidRPr="00D934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D934B5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представления сведений о доходах, ввиду отсутствия фактов неисполнения названной обязанности;</w:t>
            </w:r>
            <w:r w:rsidRPr="00D934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D934B5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3) 0 - руководителей, в отношении которых выявлены</w:t>
            </w:r>
            <w:r w:rsidRPr="00D934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D934B5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нарушения при представлении ими сведений о </w:t>
            </w:r>
            <w:proofErr w:type="gramStart"/>
            <w:r w:rsidRPr="00D934B5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доходах,</w:t>
            </w:r>
            <w:r w:rsidRPr="00D934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D934B5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однако</w:t>
            </w:r>
            <w:proofErr w:type="gramEnd"/>
            <w:r w:rsidRPr="00D934B5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решения о проведении проверок, о применении</w:t>
            </w:r>
            <w:r w:rsidRPr="00D934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D934B5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дисциплинарных взысканий не принимались</w:t>
            </w:r>
            <w:r w:rsidRPr="00D934B5">
              <w:rPr>
                <w:rStyle w:val="fontstyle01"/>
                <w:b w:val="0"/>
              </w:rPr>
              <w:t xml:space="preserve">  </w:t>
            </w:r>
          </w:p>
        </w:tc>
      </w:tr>
      <w:tr w:rsidR="004A39C9" w:rsidRPr="00122924" w:rsidTr="00F765DB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4A39C9" w:rsidRDefault="004A39C9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65D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3.</w:t>
            </w:r>
          </w:p>
        </w:tc>
        <w:tc>
          <w:tcPr>
            <w:tcW w:w="14884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4A39C9" w:rsidRPr="00122924" w:rsidRDefault="004A39C9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F765D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 исполнении решений комиссии </w:t>
            </w:r>
            <w:r w:rsidRPr="008C48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по координации работы по противодействию коррупции в Новосибирской области</w:t>
            </w:r>
            <w:r>
              <w:rPr>
                <w:rStyle w:val="a8"/>
                <w:rFonts w:ascii="Times New Roman" w:eastAsia="Calibri" w:hAnsi="Times New Roman" w:cs="Times New Roman"/>
                <w:sz w:val="27"/>
                <w:szCs w:val="27"/>
              </w:rPr>
              <w:footnoteReference w:id="1"/>
            </w:r>
            <w:r w:rsidRPr="00F765D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в том числе:</w:t>
            </w:r>
          </w:p>
        </w:tc>
      </w:tr>
      <w:tr w:rsidR="004A39C9" w:rsidRPr="00122924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39C9" w:rsidRDefault="004A39C9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65D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3.1.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39C9" w:rsidRDefault="004A39C9" w:rsidP="008229C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765D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 разъяснении гражданам, принимаемым на муниципальную службу в органы,  положений законодательства о необходимости сообщать представителю нанимателя о личной заинтересованности при исполнении должностных обязанностей, которая может привести  к конфликту интересов; о рассмотрении уведомлений от муниципальных служащих о намерении выполнять иную оплачиваемую работу в подведомственных учреждениях, организациях, созданных для выполнения задач, поставленных перед  органами местного самоуправления муниципальных образований Новосибирской области (далее – муниципальные учреждения) на 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заседаниях </w:t>
            </w:r>
            <w:r w:rsidRPr="00F765D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комиссии по соблюдению требований к служебному поведению муниципальных служащих (с указанием количества уведомлений) </w:t>
            </w:r>
            <w:r w:rsidRPr="003E72B8">
              <w:rPr>
                <w:rFonts w:ascii="Times New Roman" w:eastAsia="Calibri" w:hAnsi="Times New Roman" w:cs="Times New Roman"/>
                <w:sz w:val="27"/>
                <w:szCs w:val="27"/>
              </w:rPr>
              <w:t>(подпункт 2 пункта 3 решения по вопросу 3 протокола заседания комиссии  № 13 от 13.12.2018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, </w:t>
            </w:r>
            <w:r w:rsidRPr="00AD14B4">
              <w:rPr>
                <w:rFonts w:ascii="Times New Roman" w:eastAsia="Calibri" w:hAnsi="Times New Roman" w:cs="Times New Roman"/>
                <w:sz w:val="27"/>
                <w:szCs w:val="27"/>
              </w:rPr>
              <w:t>с учетом подпункта 1 пункта 1 решения по вопросу 3 протокола  № 3 заседания комиссии  от 29.06.2020);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A39C9" w:rsidRPr="00ED39DD" w:rsidRDefault="000B15E9" w:rsidP="005D7BE0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9DD">
              <w:rPr>
                <w:rFonts w:ascii="Times New Roman" w:eastAsia="Calibri" w:hAnsi="Times New Roman" w:cs="Times New Roman"/>
                <w:sz w:val="24"/>
                <w:szCs w:val="24"/>
              </w:rPr>
              <w:t>Органом местного самоуправления поселения принимаются меры по разъяснению гражданам, принимаемым на муниципальную службу в органы, положений законодательства о необходимости сообщать представителю нанимателя о личной заинтересованности при исполнении должностных обязанностей, которая может привести к конфликту интересов.</w:t>
            </w:r>
          </w:p>
          <w:p w:rsidR="000B15E9" w:rsidRPr="00ED39DD" w:rsidRDefault="000B15E9" w:rsidP="005D7BE0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15E9" w:rsidRPr="00ED39DD" w:rsidRDefault="000B15E9" w:rsidP="000B15E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D3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Уведомления от муниципальных служащих о намерении выполнять иную оплачиваемую работу в подведомственных учреждениях, организациях, созданных для выполнения задач, поставленных </w:t>
            </w:r>
            <w:proofErr w:type="gramStart"/>
            <w:r w:rsidRPr="00ED39DD">
              <w:rPr>
                <w:rFonts w:ascii="Times New Roman" w:eastAsia="Calibri" w:hAnsi="Times New Roman" w:cs="Times New Roman"/>
                <w:sz w:val="24"/>
                <w:szCs w:val="24"/>
              </w:rPr>
              <w:t>перед  ОМС</w:t>
            </w:r>
            <w:proofErr w:type="gramEnd"/>
            <w:r w:rsidRPr="00ED3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поступали, следовательно, на заседаниях комиссии по соблюдению требований к служебному поведению муниципальных служащих не рассматривались.</w:t>
            </w:r>
          </w:p>
        </w:tc>
      </w:tr>
      <w:tr w:rsidR="004A39C9" w:rsidRPr="00122924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39C9" w:rsidRPr="00F765DB" w:rsidRDefault="004A39C9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65D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3.2.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39C9" w:rsidRDefault="004A39C9" w:rsidP="00215B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765D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об исполнении мероприятий, предусмотренных антикоррупционными программами (планами по противодействию коррупции) органов (подпункт 2 пункта 3 решения по вопросу 1 </w:t>
            </w:r>
            <w:proofErr w:type="gramStart"/>
            <w:r w:rsidRPr="00F765DB">
              <w:rPr>
                <w:rFonts w:ascii="Times New Roman" w:eastAsia="Calibri" w:hAnsi="Times New Roman" w:cs="Times New Roman"/>
                <w:sz w:val="27"/>
                <w:szCs w:val="27"/>
              </w:rPr>
              <w:t>протокола  №</w:t>
            </w:r>
            <w:proofErr w:type="gramEnd"/>
            <w:r w:rsidRPr="00F765D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1 заседания комиссии от 22.03.2019);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A39C9" w:rsidRPr="00ED39DD" w:rsidRDefault="000B28E1" w:rsidP="000B28E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D3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2020 году мероприятия, </w:t>
            </w:r>
            <w:proofErr w:type="gramStart"/>
            <w:r w:rsidRPr="00ED39DD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предусмотренные  планом</w:t>
            </w:r>
            <w:proofErr w:type="gramEnd"/>
            <w:r w:rsidRPr="00ED3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противодействию коррупции,  исполнены.</w:t>
            </w:r>
          </w:p>
        </w:tc>
      </w:tr>
      <w:tr w:rsidR="004A39C9" w:rsidRPr="00122924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39C9" w:rsidRPr="00F765DB" w:rsidRDefault="004A39C9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65D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3.3.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39C9" w:rsidRDefault="004A39C9" w:rsidP="007A7B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765D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об обеспечении мер по предупреждению и противодействию коррупции в муниципальных учреждениях (подпункт 2 пункта 3 </w:t>
            </w:r>
            <w:proofErr w:type="gramStart"/>
            <w:r w:rsidRPr="00F765DB">
              <w:rPr>
                <w:rFonts w:ascii="Times New Roman" w:eastAsia="Calibri" w:hAnsi="Times New Roman" w:cs="Times New Roman"/>
                <w:sz w:val="27"/>
                <w:szCs w:val="27"/>
              </w:rPr>
              <w:t>решения  по</w:t>
            </w:r>
            <w:proofErr w:type="gramEnd"/>
            <w:r w:rsidRPr="00F765D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вопросу 1 протокола № 4 з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аседания комиссии от 18.10.2019,</w:t>
            </w:r>
            <w:r w:rsidRPr="00F765D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803CE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 учетом </w:t>
            </w:r>
            <w:r w:rsidRPr="00803CE9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подпункта 1 пункта 1 решения по вопросу 3 протокола  № 3 заседания комиссии от 29.06.2020);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A39C9" w:rsidRPr="00ED39DD" w:rsidRDefault="000170A0" w:rsidP="000170A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D3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муниципальных учреждения</w:t>
            </w:r>
            <w:r w:rsidR="00807F33" w:rsidRPr="00ED3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ED3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подведомственных администрации, обеспечен единый подход к разработке и реализации мер по противодействию коррупции в соответствии с положениями 273-ФЗ от 25.12.2008 </w:t>
            </w:r>
            <w:proofErr w:type="gramStart"/>
            <w:r w:rsidRPr="00ED3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г..</w:t>
            </w:r>
            <w:proofErr w:type="gramEnd"/>
            <w:r w:rsidRPr="00ED3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Утверждены правовые акты (локальные акты) по вопросам </w:t>
            </w:r>
            <w:r w:rsidRPr="00ED3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противодействия коррупции в подведомственных муниципальных учреждениях. </w:t>
            </w:r>
          </w:p>
        </w:tc>
      </w:tr>
      <w:tr w:rsidR="004A39C9" w:rsidRPr="00122924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39C9" w:rsidRPr="00F765DB" w:rsidRDefault="004A39C9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65D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3.4.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39C9" w:rsidRDefault="004A39C9" w:rsidP="007A7B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765D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об осуществлении анализа принятия в учреждениях мер по предупреждению коррупции при проведении проверок соблюдения ими законодательства (абзац третий («б») подпункта 3 пункта 4 решения по вопросу 1 </w:t>
            </w:r>
            <w:proofErr w:type="gramStart"/>
            <w:r w:rsidRPr="00F765DB">
              <w:rPr>
                <w:rFonts w:ascii="Times New Roman" w:eastAsia="Calibri" w:hAnsi="Times New Roman" w:cs="Times New Roman"/>
                <w:sz w:val="27"/>
                <w:szCs w:val="27"/>
              </w:rPr>
              <w:t>протокола  №</w:t>
            </w:r>
            <w:proofErr w:type="gramEnd"/>
            <w:r w:rsidRPr="00F765D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4 з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аседания комиссии от 18.10.2019,</w:t>
            </w:r>
            <w:r w:rsidRPr="00F765D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803CE9">
              <w:rPr>
                <w:rFonts w:ascii="Times New Roman" w:eastAsia="Calibri" w:hAnsi="Times New Roman" w:cs="Times New Roman"/>
                <w:sz w:val="27"/>
                <w:szCs w:val="27"/>
              </w:rPr>
              <w:t>с учетом подпункта 1 пункта 1 решения по вопросу 3 протокола № 3 заседания комиссии  от 29.06.2020);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A39C9" w:rsidRPr="00ED39DD" w:rsidRDefault="00ED39DD" w:rsidP="00ED39DD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D3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проведении проверки соблюдения муниципальным </w:t>
            </w:r>
            <w:proofErr w:type="gramStart"/>
            <w:r w:rsidRPr="00ED39DD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учреждением  законодательства</w:t>
            </w:r>
            <w:proofErr w:type="gramEnd"/>
            <w:r w:rsidRPr="00ED3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осуществлен анализ принятия в учреждении мер по противодействию коррупции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D3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результатам которого установлено, что подведомственными муниципальными учреждениями принимаются меры по предупреждению коррупции.</w:t>
            </w:r>
          </w:p>
        </w:tc>
      </w:tr>
      <w:tr w:rsidR="004A39C9" w:rsidRPr="00122924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39C9" w:rsidRPr="00F765DB" w:rsidRDefault="004A39C9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65D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3.5.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39C9" w:rsidRDefault="004A39C9" w:rsidP="007A7B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765DB">
              <w:rPr>
                <w:rFonts w:ascii="Times New Roman" w:eastAsia="Calibri" w:hAnsi="Times New Roman" w:cs="Times New Roman"/>
                <w:sz w:val="27"/>
                <w:szCs w:val="27"/>
              </w:rPr>
              <w:t>об обеспечении мер по предупреждению и противодействию коррупции в сфере закупок товаров, работ, услуг для обеспечения муниципальных нужд (подпункт 3 пункта 4 решения по вопросу 1 протокола № 3 заседания комиссии от 29.06.2020);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A39C9" w:rsidRPr="00FB1BD4" w:rsidRDefault="00742342" w:rsidP="00807F33">
            <w:pPr>
              <w:autoSpaceDE w:val="0"/>
              <w:autoSpaceDN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1B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меры по предупреждению и противодействию коррупции в сфере закупок товаров, работ, услуг для обеспечения муниципальных нужд принимались: проведен </w:t>
            </w:r>
            <w:r w:rsidRPr="00FB1BD4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проводимых в ОМС, подведомственных </w:t>
            </w:r>
            <w:proofErr w:type="gramStart"/>
            <w:r w:rsidRPr="00FB1BD4">
              <w:rPr>
                <w:rFonts w:ascii="Times New Roman" w:hAnsi="Times New Roman" w:cs="Times New Roman"/>
                <w:sz w:val="24"/>
                <w:szCs w:val="24"/>
              </w:rPr>
              <w:t>учреждениях,  в</w:t>
            </w:r>
            <w:proofErr w:type="gramEnd"/>
            <w:r w:rsidRPr="00FB1BD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Федеральным законом № 44-ФЗ закупочных процедур для целей минимизации уровня коррупции, по результатам которого определены    коррупционные риски и индикаторы коррупции.</w:t>
            </w:r>
            <w:r w:rsidR="00807F3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муниципального учреждения, муниципальные служащие администрации проинформированы о необходимости уведомления о конфликте интересов, </w:t>
            </w:r>
            <w:proofErr w:type="gramStart"/>
            <w:r w:rsidR="00807F33">
              <w:rPr>
                <w:rFonts w:ascii="Times New Roman" w:hAnsi="Times New Roman" w:cs="Times New Roman"/>
                <w:sz w:val="24"/>
                <w:szCs w:val="24"/>
              </w:rPr>
              <w:t>возникающем  при</w:t>
            </w:r>
            <w:proofErr w:type="gramEnd"/>
            <w:r w:rsidR="00807F3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осуществлении закупочной деятельности и заполнения деклараций о конфликте интересов при осуществлении закупочной деятельности </w:t>
            </w:r>
          </w:p>
        </w:tc>
      </w:tr>
      <w:tr w:rsidR="004A39C9" w:rsidRPr="00122924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39C9" w:rsidRPr="00F765DB" w:rsidRDefault="004A39C9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65D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3.6.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39C9" w:rsidRPr="00F765DB" w:rsidRDefault="004A39C9" w:rsidP="007A7B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765DB">
              <w:rPr>
                <w:rFonts w:ascii="Times New Roman" w:eastAsia="Calibri" w:hAnsi="Times New Roman" w:cs="Times New Roman"/>
                <w:sz w:val="27"/>
                <w:szCs w:val="27"/>
              </w:rPr>
              <w:t>о рассмотрении вопросов реализации законодательства в сфере противодействия коррупции на заседаниях общественных советов, созданных при органах (подпункты 2 и 3 пункта 3 решения по вопросу 1 протокола заседания комиссии № 4 от 22.09.2020);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A39C9" w:rsidRPr="00415440" w:rsidRDefault="00A93D4D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5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общественного совета, созданного при администрации</w:t>
            </w:r>
            <w:r w:rsidR="005A192A" w:rsidRPr="00415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15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</w:t>
            </w:r>
            <w:r w:rsidRPr="0041544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законодательства в сфере противодействия коррупции рассматривались.</w:t>
            </w:r>
          </w:p>
        </w:tc>
      </w:tr>
      <w:tr w:rsidR="004A39C9" w:rsidRPr="00122924" w:rsidTr="00BD5B72">
        <w:trPr>
          <w:trHeight w:val="589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39C9" w:rsidRPr="00F765DB" w:rsidRDefault="004A39C9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765D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3.7.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A39C9" w:rsidRPr="00F765DB" w:rsidRDefault="004A39C9" w:rsidP="007A7B6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F765DB">
              <w:rPr>
                <w:rFonts w:ascii="Times New Roman" w:eastAsia="Calibri" w:hAnsi="Times New Roman" w:cs="Times New Roman"/>
                <w:sz w:val="27"/>
                <w:szCs w:val="27"/>
              </w:rPr>
              <w:t>об обеспечении ежегодной оценки коррупционных рисков, возникающ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их при реализации функций органов</w:t>
            </w:r>
            <w:r w:rsidRPr="00F765DB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, актуализации перечней должностей, при замещении которых муниципальные служащие обязаны представлять сведения о доходах, рассмотрении на заседаниях комиссий по соблюдению требований к служебному поведению и урегулированию конфликта интересов проектов подготовленных карт коррупционных рисков и вопроса об </w:t>
            </w:r>
            <w:r w:rsidRPr="00F765DB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актуализации соответствующих перечней (пункт 3 решения по вопросу 3 протокола  № 5 заседания комиссии от 22.12.2020).</w:t>
            </w:r>
          </w:p>
        </w:tc>
        <w:tc>
          <w:tcPr>
            <w:tcW w:w="78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A39C9" w:rsidRPr="00415440" w:rsidRDefault="005A192A" w:rsidP="006A439F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154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ежегодная оценка коррупционных рисков, возникающих при реализации функций органов проведена, перечень должностей, при замещении которых муниципальные служащие обязаны представлять сведения о доходах, актуализирован, на   заседани</w:t>
            </w:r>
            <w:r w:rsidR="006A439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15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 и урегулированию конфликта интересов проект</w:t>
            </w:r>
            <w:r w:rsidR="006A4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15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подготовленн</w:t>
            </w:r>
            <w:r w:rsidR="006A439F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415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</w:t>
            </w:r>
            <w:r w:rsidR="006A439F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15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коррупционных рисков</w:t>
            </w:r>
            <w:r w:rsidR="006A4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рассмотрен и по результатам  рассмотрения  данного вопроса,  </w:t>
            </w:r>
            <w:r w:rsidR="006A439F" w:rsidRPr="00415440">
              <w:rPr>
                <w:rFonts w:ascii="Times New Roman" w:eastAsia="Calibri" w:hAnsi="Times New Roman" w:cs="Times New Roman"/>
                <w:sz w:val="24"/>
                <w:szCs w:val="24"/>
              </w:rPr>
              <w:t>карт</w:t>
            </w:r>
            <w:r w:rsidR="006A439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A439F" w:rsidRPr="00415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коррупционных рисков</w:t>
            </w:r>
            <w:r w:rsidR="006A4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утверждена постановлением администрации.</w:t>
            </w:r>
          </w:p>
        </w:tc>
      </w:tr>
      <w:tr w:rsidR="004A39C9" w:rsidRPr="00122924" w:rsidTr="006A5726">
        <w:trPr>
          <w:trHeight w:val="431"/>
        </w:trPr>
        <w:tc>
          <w:tcPr>
            <w:tcW w:w="709" w:type="dxa"/>
            <w:shd w:val="clear" w:color="auto" w:fill="DEEAF6" w:themeFill="accent1" w:themeFillTint="33"/>
          </w:tcPr>
          <w:p w:rsidR="004A39C9" w:rsidRPr="00122924" w:rsidRDefault="004A39C9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Pr="001229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4884" w:type="dxa"/>
            <w:gridSpan w:val="3"/>
            <w:shd w:val="clear" w:color="auto" w:fill="DEEAF6" w:themeFill="accent1" w:themeFillTint="33"/>
          </w:tcPr>
          <w:p w:rsidR="004A39C9" w:rsidRPr="00122924" w:rsidRDefault="004A39C9" w:rsidP="005D7BE0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Информация о деятельности органов местного самоуправления </w:t>
            </w:r>
            <w:r w:rsidRPr="00006032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по антикоррупционному просвещению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:</w:t>
            </w:r>
          </w:p>
        </w:tc>
      </w:tr>
      <w:tr w:rsidR="004A39C9" w:rsidRPr="00122924" w:rsidTr="00BD5B72">
        <w:trPr>
          <w:trHeight w:val="622"/>
        </w:trPr>
        <w:tc>
          <w:tcPr>
            <w:tcW w:w="709" w:type="dxa"/>
            <w:shd w:val="clear" w:color="auto" w:fill="FFFFFF" w:themeFill="background1"/>
          </w:tcPr>
          <w:p w:rsidR="004A39C9" w:rsidRPr="00F802D0" w:rsidRDefault="004A39C9" w:rsidP="00BD5B7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802D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4.1.</w:t>
            </w:r>
          </w:p>
        </w:tc>
        <w:tc>
          <w:tcPr>
            <w:tcW w:w="7087" w:type="dxa"/>
            <w:gridSpan w:val="2"/>
            <w:shd w:val="clear" w:color="auto" w:fill="FFFFFF" w:themeFill="background1"/>
          </w:tcPr>
          <w:p w:rsidR="004A39C9" w:rsidRPr="00F802D0" w:rsidRDefault="004A39C9" w:rsidP="00DF64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F802D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 мероприятиях, проведенных в целях антикоррупционного просвещения различных групп населения (с указанием тематики, цели, круга участников, содержания мероприятий и итогов их проведения, приложением фото (не более двух)) </w:t>
            </w:r>
            <w:r w:rsidRPr="005E05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(подпункт 2 пункт 4 решения по вопросу 1 </w:t>
            </w:r>
            <w:proofErr w:type="gramStart"/>
            <w:r w:rsidRPr="005E05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протокола  №</w:t>
            </w:r>
            <w:proofErr w:type="gramEnd"/>
            <w:r w:rsidRPr="005E05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7 заседания комиссии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06.06.2017</w:t>
            </w:r>
            <w:r w:rsidRPr="00803C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с учетом подпункта 1 пункта 1 решения по вопросу 3 протокола  № 3 заседания комиссии  от 29.06.2020),</w:t>
            </w:r>
          </w:p>
          <w:p w:rsidR="004A39C9" w:rsidRPr="00F802D0" w:rsidRDefault="004A39C9" w:rsidP="008718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802D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том </w:t>
            </w:r>
            <w:proofErr w:type="gramStart"/>
            <w:r w:rsidRPr="00F802D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числе  о</w:t>
            </w:r>
            <w:proofErr w:type="gramEnd"/>
            <w:r w:rsidRPr="00F802D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мероприятиях, ориентированных на дистанционный формат проведения,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 </w:t>
            </w:r>
            <w:r w:rsidRPr="00F802D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подготовке видеороликов антикоррупционной направленности </w:t>
            </w:r>
            <w:r w:rsidRPr="005E05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(подпункт 3 пункта 3 решения по вопросу 1 протокола  № 4 заседания комиссии  от 22.09.2020);</w:t>
            </w:r>
          </w:p>
        </w:tc>
        <w:tc>
          <w:tcPr>
            <w:tcW w:w="7797" w:type="dxa"/>
            <w:shd w:val="clear" w:color="auto" w:fill="FFFFFF" w:themeFill="background1"/>
          </w:tcPr>
          <w:p w:rsidR="004A39C9" w:rsidRPr="00415440" w:rsidRDefault="005E3351" w:rsidP="005E335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антикоррупционного просвещения мероприятия не проводились, в том числе в рамках дистанционного </w:t>
            </w:r>
            <w:r w:rsidR="00216388" w:rsidRPr="00415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формата</w:t>
            </w:r>
            <w:r w:rsidRPr="00415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3351" w:rsidRPr="00122924" w:rsidRDefault="005E3351" w:rsidP="005E335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15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видеороликов не осуществлялась.</w:t>
            </w:r>
          </w:p>
        </w:tc>
      </w:tr>
      <w:tr w:rsidR="004A39C9" w:rsidRPr="00122924" w:rsidTr="00BD5B72">
        <w:trPr>
          <w:trHeight w:val="622"/>
        </w:trPr>
        <w:tc>
          <w:tcPr>
            <w:tcW w:w="709" w:type="dxa"/>
            <w:shd w:val="clear" w:color="auto" w:fill="FFFFFF" w:themeFill="background1"/>
          </w:tcPr>
          <w:p w:rsidR="004A39C9" w:rsidRPr="00F802D0" w:rsidRDefault="004A39C9" w:rsidP="00BD5B7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4.2</w:t>
            </w:r>
            <w:r w:rsidRPr="00F802D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7087" w:type="dxa"/>
            <w:gridSpan w:val="2"/>
            <w:shd w:val="clear" w:color="auto" w:fill="FFFFFF" w:themeFill="background1"/>
          </w:tcPr>
          <w:p w:rsidR="004A39C9" w:rsidRPr="00F802D0" w:rsidRDefault="004A39C9" w:rsidP="005E69E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802D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 организации информирования при осуществлении разрешительных и контрольно-надзорных </w:t>
            </w:r>
            <w:proofErr w:type="gramStart"/>
            <w:r w:rsidRPr="00F802D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функций  специалистов</w:t>
            </w:r>
            <w:proofErr w:type="gramEnd"/>
            <w:r w:rsidRPr="00F802D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органов местного  самоуправления, к должностным обязанностям которых отнесены такие функции, руководителей муниципальных учреждений, а также населения и бизнеса </w:t>
            </w:r>
            <w:r w:rsidRPr="005E05A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(подпункт 3 пункта 3 решения по вопросу 2 протокола  № 4 заседания комиссии от 22.09.2020).</w:t>
            </w:r>
          </w:p>
        </w:tc>
        <w:tc>
          <w:tcPr>
            <w:tcW w:w="7797" w:type="dxa"/>
            <w:shd w:val="clear" w:color="auto" w:fill="FFFFFF" w:themeFill="background1"/>
          </w:tcPr>
          <w:p w:rsidR="004A39C9" w:rsidRPr="00415440" w:rsidRDefault="00691C1D" w:rsidP="00025C5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Организовано </w:t>
            </w:r>
            <w:proofErr w:type="gramStart"/>
            <w:r w:rsidRPr="00415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 специалистов</w:t>
            </w:r>
            <w:proofErr w:type="gramEnd"/>
            <w:r w:rsidRPr="00415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 самоуправления, к должностным обязанностям которых отнесены такие функции, руководителей муниципальных учреждений о недопустимости навязывания организациям и гражданам платных товаров, работ, услуг сторонних (третьих) лиц, а также об ответственности за совершение коррупционных правонарушений.</w:t>
            </w:r>
            <w:r w:rsidR="00025C59" w:rsidRPr="00415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полномочий ОМС, обеспечено полное и достоверное информирование населения и </w:t>
            </w:r>
            <w:proofErr w:type="gramStart"/>
            <w:r w:rsidR="00025C59" w:rsidRPr="00415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бизнеса  по</w:t>
            </w:r>
            <w:proofErr w:type="gramEnd"/>
            <w:r w:rsidR="00025C59" w:rsidRPr="00415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вопросам, касающимся условий выдачи разрешений  на осуществление определенного вида деятельности, при этом указанное информирование  осуществлено посредством размещения указанной информации на официальном сайте администрации (в разделе  по  предоставлению муниципальных услуг, поддержке </w:t>
            </w:r>
            <w:proofErr w:type="spellStart"/>
            <w:r w:rsidR="00025C59" w:rsidRPr="00415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СМиСП</w:t>
            </w:r>
            <w:proofErr w:type="spellEnd"/>
            <w:r w:rsidR="00025C59" w:rsidRPr="00415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а также в печатном издании</w:t>
            </w:r>
            <w:r w:rsidR="00ED3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</w:t>
            </w:r>
            <w:r w:rsidR="00025C59" w:rsidRPr="00415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CE7C6A" w:rsidRPr="00CE7C6A" w:rsidRDefault="00CE7C6A" w:rsidP="00CE7C6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E7C6A" w:rsidRPr="00CE7C6A" w:rsidSect="003E5D55">
      <w:headerReference w:type="default" r:id="rId8"/>
      <w:headerReference w:type="first" r:id="rId9"/>
      <w:pgSz w:w="16838" w:h="11906" w:orient="landscape"/>
      <w:pgMar w:top="567" w:right="567" w:bottom="567" w:left="567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BBA" w:rsidRDefault="00A02BBA" w:rsidP="00CE7C6A">
      <w:pPr>
        <w:spacing w:after="0" w:line="240" w:lineRule="auto"/>
      </w:pPr>
      <w:r>
        <w:separator/>
      </w:r>
    </w:p>
  </w:endnote>
  <w:endnote w:type="continuationSeparator" w:id="0">
    <w:p w:rsidR="00A02BBA" w:rsidRDefault="00A02BBA" w:rsidP="00CE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BBA" w:rsidRDefault="00A02BBA" w:rsidP="00CE7C6A">
      <w:pPr>
        <w:spacing w:after="0" w:line="240" w:lineRule="auto"/>
      </w:pPr>
      <w:r>
        <w:separator/>
      </w:r>
    </w:p>
  </w:footnote>
  <w:footnote w:type="continuationSeparator" w:id="0">
    <w:p w:rsidR="00A02BBA" w:rsidRDefault="00A02BBA" w:rsidP="00CE7C6A">
      <w:pPr>
        <w:spacing w:after="0" w:line="240" w:lineRule="auto"/>
      </w:pPr>
      <w:r>
        <w:continuationSeparator/>
      </w:r>
    </w:p>
  </w:footnote>
  <w:footnote w:id="1">
    <w:p w:rsidR="004A39C9" w:rsidRDefault="004A39C9" w:rsidP="00215B6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433359">
        <w:t xml:space="preserve">  Информация представляется органами местного самоуправления муниципальных районов и городски</w:t>
      </w:r>
      <w:r>
        <w:t xml:space="preserve">х округов Новосибирской </w:t>
      </w:r>
      <w:proofErr w:type="gramStart"/>
      <w:r>
        <w:t>области,  н</w:t>
      </w:r>
      <w:r w:rsidRPr="00433359">
        <w:t>е</w:t>
      </w:r>
      <w:proofErr w:type="gramEnd"/>
      <w:r w:rsidRPr="00433359">
        <w:t xml:space="preserve"> представившими такую информацию на момент получения данного запроса.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8967780"/>
      <w:docPartObj>
        <w:docPartGallery w:val="Page Numbers (Top of Page)"/>
        <w:docPartUnique/>
      </w:docPartObj>
    </w:sdtPr>
    <w:sdtEndPr/>
    <w:sdtContent>
      <w:p w:rsidR="00013504" w:rsidRDefault="00861A3E">
        <w:pPr>
          <w:pStyle w:val="a3"/>
          <w:jc w:val="center"/>
        </w:pPr>
        <w:r w:rsidRPr="000135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13504" w:rsidRPr="000135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135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439DD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0135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13504" w:rsidRDefault="000135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4D2" w:rsidRPr="00013504" w:rsidRDefault="00C334D2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B331A"/>
    <w:multiLevelType w:val="hybridMultilevel"/>
    <w:tmpl w:val="10D0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AD9"/>
    <w:rsid w:val="00000862"/>
    <w:rsid w:val="00003D10"/>
    <w:rsid w:val="00006032"/>
    <w:rsid w:val="000063AC"/>
    <w:rsid w:val="00013504"/>
    <w:rsid w:val="000143F7"/>
    <w:rsid w:val="000170A0"/>
    <w:rsid w:val="00023101"/>
    <w:rsid w:val="00025C59"/>
    <w:rsid w:val="00033E61"/>
    <w:rsid w:val="00040549"/>
    <w:rsid w:val="00040B75"/>
    <w:rsid w:val="00044B0D"/>
    <w:rsid w:val="00047EAD"/>
    <w:rsid w:val="000577EC"/>
    <w:rsid w:val="00060AD9"/>
    <w:rsid w:val="000757C6"/>
    <w:rsid w:val="0008145E"/>
    <w:rsid w:val="00081622"/>
    <w:rsid w:val="00084670"/>
    <w:rsid w:val="000A1B40"/>
    <w:rsid w:val="000B15E9"/>
    <w:rsid w:val="000B28E1"/>
    <w:rsid w:val="000B5570"/>
    <w:rsid w:val="000C2976"/>
    <w:rsid w:val="000C705F"/>
    <w:rsid w:val="000D5D0C"/>
    <w:rsid w:val="000E2630"/>
    <w:rsid w:val="000F334C"/>
    <w:rsid w:val="00104A13"/>
    <w:rsid w:val="001066D9"/>
    <w:rsid w:val="00110EF9"/>
    <w:rsid w:val="00120812"/>
    <w:rsid w:val="00120D57"/>
    <w:rsid w:val="00121EBE"/>
    <w:rsid w:val="00122924"/>
    <w:rsid w:val="001346CC"/>
    <w:rsid w:val="00136305"/>
    <w:rsid w:val="00141C9E"/>
    <w:rsid w:val="001524A1"/>
    <w:rsid w:val="0016704A"/>
    <w:rsid w:val="00167830"/>
    <w:rsid w:val="00167B8E"/>
    <w:rsid w:val="00176672"/>
    <w:rsid w:val="00184254"/>
    <w:rsid w:val="001879CD"/>
    <w:rsid w:val="00190D7D"/>
    <w:rsid w:val="00190F77"/>
    <w:rsid w:val="00193EB7"/>
    <w:rsid w:val="0019522A"/>
    <w:rsid w:val="001A03B5"/>
    <w:rsid w:val="001A26DA"/>
    <w:rsid w:val="001A4F6B"/>
    <w:rsid w:val="001A608F"/>
    <w:rsid w:val="001B1BC7"/>
    <w:rsid w:val="001B4E4B"/>
    <w:rsid w:val="001C29BA"/>
    <w:rsid w:val="001C2AC9"/>
    <w:rsid w:val="001C457F"/>
    <w:rsid w:val="001C62D5"/>
    <w:rsid w:val="001C673E"/>
    <w:rsid w:val="001E348E"/>
    <w:rsid w:val="001E5683"/>
    <w:rsid w:val="001F098D"/>
    <w:rsid w:val="001F1436"/>
    <w:rsid w:val="001F2AD8"/>
    <w:rsid w:val="001F4EC0"/>
    <w:rsid w:val="00200CCC"/>
    <w:rsid w:val="00205001"/>
    <w:rsid w:val="002050CE"/>
    <w:rsid w:val="00212700"/>
    <w:rsid w:val="00213BF1"/>
    <w:rsid w:val="00215B66"/>
    <w:rsid w:val="00216388"/>
    <w:rsid w:val="00221AD9"/>
    <w:rsid w:val="00222046"/>
    <w:rsid w:val="0022315A"/>
    <w:rsid w:val="0022536F"/>
    <w:rsid w:val="0023154A"/>
    <w:rsid w:val="00233B7A"/>
    <w:rsid w:val="00234B7B"/>
    <w:rsid w:val="00235A22"/>
    <w:rsid w:val="002369CC"/>
    <w:rsid w:val="00240E95"/>
    <w:rsid w:val="002431DA"/>
    <w:rsid w:val="00267FA5"/>
    <w:rsid w:val="002776B0"/>
    <w:rsid w:val="00283061"/>
    <w:rsid w:val="00290C26"/>
    <w:rsid w:val="002A4185"/>
    <w:rsid w:val="002B228B"/>
    <w:rsid w:val="002B27D9"/>
    <w:rsid w:val="002B65E7"/>
    <w:rsid w:val="002C4E59"/>
    <w:rsid w:val="002C58E1"/>
    <w:rsid w:val="002C7388"/>
    <w:rsid w:val="002D6CF2"/>
    <w:rsid w:val="002D707B"/>
    <w:rsid w:val="00312C02"/>
    <w:rsid w:val="00313DBF"/>
    <w:rsid w:val="003157A1"/>
    <w:rsid w:val="003210CF"/>
    <w:rsid w:val="00324C58"/>
    <w:rsid w:val="00337DF5"/>
    <w:rsid w:val="00341552"/>
    <w:rsid w:val="00342133"/>
    <w:rsid w:val="003449CE"/>
    <w:rsid w:val="003508F0"/>
    <w:rsid w:val="00352DEF"/>
    <w:rsid w:val="003565E2"/>
    <w:rsid w:val="0036091F"/>
    <w:rsid w:val="00370650"/>
    <w:rsid w:val="003732E0"/>
    <w:rsid w:val="0037500B"/>
    <w:rsid w:val="00381768"/>
    <w:rsid w:val="003821B4"/>
    <w:rsid w:val="00382D80"/>
    <w:rsid w:val="00383DE3"/>
    <w:rsid w:val="00392B1E"/>
    <w:rsid w:val="00394943"/>
    <w:rsid w:val="003A7FD1"/>
    <w:rsid w:val="003B2CD5"/>
    <w:rsid w:val="003B39ED"/>
    <w:rsid w:val="003C2698"/>
    <w:rsid w:val="003D312A"/>
    <w:rsid w:val="003E5796"/>
    <w:rsid w:val="003E5D55"/>
    <w:rsid w:val="003E72B8"/>
    <w:rsid w:val="003F2AC3"/>
    <w:rsid w:val="003F59E3"/>
    <w:rsid w:val="003F6D4A"/>
    <w:rsid w:val="003F6DAF"/>
    <w:rsid w:val="004003D8"/>
    <w:rsid w:val="00401586"/>
    <w:rsid w:val="00410806"/>
    <w:rsid w:val="0041243D"/>
    <w:rsid w:val="00415440"/>
    <w:rsid w:val="00417AFB"/>
    <w:rsid w:val="0042121C"/>
    <w:rsid w:val="0042123A"/>
    <w:rsid w:val="00425D66"/>
    <w:rsid w:val="00426348"/>
    <w:rsid w:val="004302BA"/>
    <w:rsid w:val="00433359"/>
    <w:rsid w:val="00441486"/>
    <w:rsid w:val="00443883"/>
    <w:rsid w:val="0044496A"/>
    <w:rsid w:val="00445975"/>
    <w:rsid w:val="0046004E"/>
    <w:rsid w:val="004605A0"/>
    <w:rsid w:val="004629A7"/>
    <w:rsid w:val="004655AF"/>
    <w:rsid w:val="00465DEE"/>
    <w:rsid w:val="004707B4"/>
    <w:rsid w:val="00475D18"/>
    <w:rsid w:val="00495691"/>
    <w:rsid w:val="00496B44"/>
    <w:rsid w:val="00497D1D"/>
    <w:rsid w:val="004A1D3C"/>
    <w:rsid w:val="004A39C9"/>
    <w:rsid w:val="004A66BB"/>
    <w:rsid w:val="004B0863"/>
    <w:rsid w:val="004B20D6"/>
    <w:rsid w:val="004C1D9D"/>
    <w:rsid w:val="004C7EAB"/>
    <w:rsid w:val="004D130D"/>
    <w:rsid w:val="004D58DA"/>
    <w:rsid w:val="004D5A3F"/>
    <w:rsid w:val="004D60D6"/>
    <w:rsid w:val="004D65D1"/>
    <w:rsid w:val="004E20AF"/>
    <w:rsid w:val="004E5EA5"/>
    <w:rsid w:val="004E62BC"/>
    <w:rsid w:val="00514580"/>
    <w:rsid w:val="00516C4F"/>
    <w:rsid w:val="005234E1"/>
    <w:rsid w:val="00527960"/>
    <w:rsid w:val="00530BEA"/>
    <w:rsid w:val="00530EBC"/>
    <w:rsid w:val="00533751"/>
    <w:rsid w:val="0053579F"/>
    <w:rsid w:val="0054238C"/>
    <w:rsid w:val="00543D61"/>
    <w:rsid w:val="0054762F"/>
    <w:rsid w:val="00547D3F"/>
    <w:rsid w:val="0055309C"/>
    <w:rsid w:val="00555BA3"/>
    <w:rsid w:val="00563BBC"/>
    <w:rsid w:val="0056556C"/>
    <w:rsid w:val="00570280"/>
    <w:rsid w:val="0057270B"/>
    <w:rsid w:val="005760DB"/>
    <w:rsid w:val="005813A6"/>
    <w:rsid w:val="0058289E"/>
    <w:rsid w:val="00584098"/>
    <w:rsid w:val="00587576"/>
    <w:rsid w:val="0059013E"/>
    <w:rsid w:val="00593837"/>
    <w:rsid w:val="00597528"/>
    <w:rsid w:val="005A14DA"/>
    <w:rsid w:val="005A192A"/>
    <w:rsid w:val="005B7977"/>
    <w:rsid w:val="005D12F2"/>
    <w:rsid w:val="005D7BE0"/>
    <w:rsid w:val="005E05AD"/>
    <w:rsid w:val="005E3351"/>
    <w:rsid w:val="005E66E9"/>
    <w:rsid w:val="005E69EE"/>
    <w:rsid w:val="005F19E8"/>
    <w:rsid w:val="005F6FCC"/>
    <w:rsid w:val="0060188D"/>
    <w:rsid w:val="006062E9"/>
    <w:rsid w:val="00613317"/>
    <w:rsid w:val="00622F20"/>
    <w:rsid w:val="0062546A"/>
    <w:rsid w:val="0063119E"/>
    <w:rsid w:val="00631258"/>
    <w:rsid w:val="00636011"/>
    <w:rsid w:val="00640004"/>
    <w:rsid w:val="00642382"/>
    <w:rsid w:val="006429D9"/>
    <w:rsid w:val="00653F0F"/>
    <w:rsid w:val="00654721"/>
    <w:rsid w:val="00655DDB"/>
    <w:rsid w:val="0065720D"/>
    <w:rsid w:val="00673DF9"/>
    <w:rsid w:val="00686CD4"/>
    <w:rsid w:val="00691C1D"/>
    <w:rsid w:val="00694390"/>
    <w:rsid w:val="006A3E04"/>
    <w:rsid w:val="006A439F"/>
    <w:rsid w:val="006A5726"/>
    <w:rsid w:val="006A7F0C"/>
    <w:rsid w:val="006B4699"/>
    <w:rsid w:val="006B4B32"/>
    <w:rsid w:val="006D5313"/>
    <w:rsid w:val="006E1BF9"/>
    <w:rsid w:val="006E7B8D"/>
    <w:rsid w:val="006F00BE"/>
    <w:rsid w:val="006F67AD"/>
    <w:rsid w:val="00704A7A"/>
    <w:rsid w:val="00710AE3"/>
    <w:rsid w:val="00711761"/>
    <w:rsid w:val="0071265F"/>
    <w:rsid w:val="0071303E"/>
    <w:rsid w:val="007143EB"/>
    <w:rsid w:val="007226C3"/>
    <w:rsid w:val="00730BE1"/>
    <w:rsid w:val="00735264"/>
    <w:rsid w:val="00742342"/>
    <w:rsid w:val="007472A9"/>
    <w:rsid w:val="0076147E"/>
    <w:rsid w:val="00762E03"/>
    <w:rsid w:val="00764EEE"/>
    <w:rsid w:val="00780FC5"/>
    <w:rsid w:val="0078441E"/>
    <w:rsid w:val="007960DB"/>
    <w:rsid w:val="007963FF"/>
    <w:rsid w:val="00797928"/>
    <w:rsid w:val="007A12C7"/>
    <w:rsid w:val="007A389B"/>
    <w:rsid w:val="007A4A2F"/>
    <w:rsid w:val="007A68EE"/>
    <w:rsid w:val="007A7B6A"/>
    <w:rsid w:val="007B199B"/>
    <w:rsid w:val="007B25CC"/>
    <w:rsid w:val="007C08B1"/>
    <w:rsid w:val="007C154C"/>
    <w:rsid w:val="007D7DA4"/>
    <w:rsid w:val="00802D60"/>
    <w:rsid w:val="00803CE9"/>
    <w:rsid w:val="00807157"/>
    <w:rsid w:val="00807F33"/>
    <w:rsid w:val="008105BF"/>
    <w:rsid w:val="00810CDB"/>
    <w:rsid w:val="00810D92"/>
    <w:rsid w:val="00810F49"/>
    <w:rsid w:val="008168AD"/>
    <w:rsid w:val="008229C3"/>
    <w:rsid w:val="0082597D"/>
    <w:rsid w:val="00825DAB"/>
    <w:rsid w:val="00827B7C"/>
    <w:rsid w:val="00833F9B"/>
    <w:rsid w:val="00834D38"/>
    <w:rsid w:val="008355F5"/>
    <w:rsid w:val="008471B7"/>
    <w:rsid w:val="00847AE5"/>
    <w:rsid w:val="008529F3"/>
    <w:rsid w:val="00856432"/>
    <w:rsid w:val="00861965"/>
    <w:rsid w:val="00861A3E"/>
    <w:rsid w:val="00865F19"/>
    <w:rsid w:val="008702F9"/>
    <w:rsid w:val="0087184A"/>
    <w:rsid w:val="008730D3"/>
    <w:rsid w:val="00876214"/>
    <w:rsid w:val="00876DA2"/>
    <w:rsid w:val="0088208B"/>
    <w:rsid w:val="00886B90"/>
    <w:rsid w:val="00887F9C"/>
    <w:rsid w:val="0089277F"/>
    <w:rsid w:val="008946D9"/>
    <w:rsid w:val="008A30B7"/>
    <w:rsid w:val="008A39E5"/>
    <w:rsid w:val="008B183F"/>
    <w:rsid w:val="008C10A6"/>
    <w:rsid w:val="008C14C1"/>
    <w:rsid w:val="008C4294"/>
    <w:rsid w:val="008C4801"/>
    <w:rsid w:val="008C508E"/>
    <w:rsid w:val="008C63E0"/>
    <w:rsid w:val="008D1D64"/>
    <w:rsid w:val="008D3908"/>
    <w:rsid w:val="008D4193"/>
    <w:rsid w:val="008E0107"/>
    <w:rsid w:val="008E12B3"/>
    <w:rsid w:val="008E3189"/>
    <w:rsid w:val="008E4794"/>
    <w:rsid w:val="008F50C4"/>
    <w:rsid w:val="00901949"/>
    <w:rsid w:val="00906AA5"/>
    <w:rsid w:val="00914B5F"/>
    <w:rsid w:val="00920E14"/>
    <w:rsid w:val="00934458"/>
    <w:rsid w:val="0094087B"/>
    <w:rsid w:val="0094207A"/>
    <w:rsid w:val="00942DAC"/>
    <w:rsid w:val="00944E53"/>
    <w:rsid w:val="009514B9"/>
    <w:rsid w:val="00957648"/>
    <w:rsid w:val="00963D19"/>
    <w:rsid w:val="00965C00"/>
    <w:rsid w:val="009663FE"/>
    <w:rsid w:val="00966BB5"/>
    <w:rsid w:val="009705D9"/>
    <w:rsid w:val="00977823"/>
    <w:rsid w:val="0098068E"/>
    <w:rsid w:val="0098178E"/>
    <w:rsid w:val="009818A5"/>
    <w:rsid w:val="00993ACE"/>
    <w:rsid w:val="009945B8"/>
    <w:rsid w:val="00995CE6"/>
    <w:rsid w:val="009979DC"/>
    <w:rsid w:val="009A1621"/>
    <w:rsid w:val="009A2A9A"/>
    <w:rsid w:val="009A4CAA"/>
    <w:rsid w:val="009A52A9"/>
    <w:rsid w:val="009A7127"/>
    <w:rsid w:val="009A7832"/>
    <w:rsid w:val="009B6BB0"/>
    <w:rsid w:val="009B77A6"/>
    <w:rsid w:val="009C3275"/>
    <w:rsid w:val="009C764B"/>
    <w:rsid w:val="009D0D09"/>
    <w:rsid w:val="009E0ABD"/>
    <w:rsid w:val="009F2A8B"/>
    <w:rsid w:val="00A01BF4"/>
    <w:rsid w:val="00A02BBA"/>
    <w:rsid w:val="00A04EA7"/>
    <w:rsid w:val="00A06060"/>
    <w:rsid w:val="00A16941"/>
    <w:rsid w:val="00A205E4"/>
    <w:rsid w:val="00A263F4"/>
    <w:rsid w:val="00A55D1C"/>
    <w:rsid w:val="00A56F2B"/>
    <w:rsid w:val="00A636A6"/>
    <w:rsid w:val="00A70F0B"/>
    <w:rsid w:val="00A71D88"/>
    <w:rsid w:val="00A72C15"/>
    <w:rsid w:val="00A750F4"/>
    <w:rsid w:val="00A758F8"/>
    <w:rsid w:val="00A8355C"/>
    <w:rsid w:val="00A8648F"/>
    <w:rsid w:val="00A92266"/>
    <w:rsid w:val="00A93D4D"/>
    <w:rsid w:val="00A951A1"/>
    <w:rsid w:val="00AA6B5D"/>
    <w:rsid w:val="00AB135D"/>
    <w:rsid w:val="00AD14B4"/>
    <w:rsid w:val="00AD1BF8"/>
    <w:rsid w:val="00AE05C2"/>
    <w:rsid w:val="00AF71E2"/>
    <w:rsid w:val="00B10DA0"/>
    <w:rsid w:val="00B1672A"/>
    <w:rsid w:val="00B172AD"/>
    <w:rsid w:val="00B25508"/>
    <w:rsid w:val="00B33DB8"/>
    <w:rsid w:val="00B425BD"/>
    <w:rsid w:val="00B439DD"/>
    <w:rsid w:val="00B63542"/>
    <w:rsid w:val="00B6407D"/>
    <w:rsid w:val="00B65B7A"/>
    <w:rsid w:val="00B66D93"/>
    <w:rsid w:val="00B66E2E"/>
    <w:rsid w:val="00B712D0"/>
    <w:rsid w:val="00B7496D"/>
    <w:rsid w:val="00B760E1"/>
    <w:rsid w:val="00B90263"/>
    <w:rsid w:val="00B951A7"/>
    <w:rsid w:val="00B9556A"/>
    <w:rsid w:val="00B97C13"/>
    <w:rsid w:val="00BA0FFA"/>
    <w:rsid w:val="00BA2008"/>
    <w:rsid w:val="00BA453C"/>
    <w:rsid w:val="00BA4873"/>
    <w:rsid w:val="00BB1416"/>
    <w:rsid w:val="00BB22C6"/>
    <w:rsid w:val="00BB35AB"/>
    <w:rsid w:val="00BB40CC"/>
    <w:rsid w:val="00BC1148"/>
    <w:rsid w:val="00BD4657"/>
    <w:rsid w:val="00BD4BCC"/>
    <w:rsid w:val="00BD5B72"/>
    <w:rsid w:val="00BD73F8"/>
    <w:rsid w:val="00BE2379"/>
    <w:rsid w:val="00BE54A7"/>
    <w:rsid w:val="00BE6157"/>
    <w:rsid w:val="00BF1EAA"/>
    <w:rsid w:val="00BF1F0D"/>
    <w:rsid w:val="00C11EBC"/>
    <w:rsid w:val="00C27388"/>
    <w:rsid w:val="00C334D2"/>
    <w:rsid w:val="00C34222"/>
    <w:rsid w:val="00C37BCC"/>
    <w:rsid w:val="00C37F22"/>
    <w:rsid w:val="00C47F0A"/>
    <w:rsid w:val="00C51CAC"/>
    <w:rsid w:val="00C54969"/>
    <w:rsid w:val="00C570FE"/>
    <w:rsid w:val="00C57AC1"/>
    <w:rsid w:val="00C714B5"/>
    <w:rsid w:val="00C802CE"/>
    <w:rsid w:val="00C8714C"/>
    <w:rsid w:val="00C91C91"/>
    <w:rsid w:val="00C9291E"/>
    <w:rsid w:val="00C966FF"/>
    <w:rsid w:val="00CA3130"/>
    <w:rsid w:val="00CA387E"/>
    <w:rsid w:val="00CC4871"/>
    <w:rsid w:val="00CE335E"/>
    <w:rsid w:val="00CE405F"/>
    <w:rsid w:val="00CE50CB"/>
    <w:rsid w:val="00CE534B"/>
    <w:rsid w:val="00CE68B8"/>
    <w:rsid w:val="00CE6B29"/>
    <w:rsid w:val="00CE7C6A"/>
    <w:rsid w:val="00CF60CE"/>
    <w:rsid w:val="00D016A4"/>
    <w:rsid w:val="00D026A5"/>
    <w:rsid w:val="00D13F7B"/>
    <w:rsid w:val="00D178CC"/>
    <w:rsid w:val="00D2140E"/>
    <w:rsid w:val="00D2760C"/>
    <w:rsid w:val="00D27C30"/>
    <w:rsid w:val="00D30D5E"/>
    <w:rsid w:val="00D3158C"/>
    <w:rsid w:val="00D37543"/>
    <w:rsid w:val="00D41257"/>
    <w:rsid w:val="00D47C17"/>
    <w:rsid w:val="00D52B15"/>
    <w:rsid w:val="00D54F66"/>
    <w:rsid w:val="00D62D8A"/>
    <w:rsid w:val="00D66D7A"/>
    <w:rsid w:val="00D67BA7"/>
    <w:rsid w:val="00D7092B"/>
    <w:rsid w:val="00D7445C"/>
    <w:rsid w:val="00D74C76"/>
    <w:rsid w:val="00D80AD9"/>
    <w:rsid w:val="00D81405"/>
    <w:rsid w:val="00D83BB5"/>
    <w:rsid w:val="00D8722F"/>
    <w:rsid w:val="00DA2F94"/>
    <w:rsid w:val="00DB489D"/>
    <w:rsid w:val="00DB6A50"/>
    <w:rsid w:val="00DC10CB"/>
    <w:rsid w:val="00DC60E8"/>
    <w:rsid w:val="00DD13DB"/>
    <w:rsid w:val="00DD31EC"/>
    <w:rsid w:val="00DD465E"/>
    <w:rsid w:val="00DE0C3E"/>
    <w:rsid w:val="00DE2897"/>
    <w:rsid w:val="00DF1FCD"/>
    <w:rsid w:val="00DF6414"/>
    <w:rsid w:val="00E01699"/>
    <w:rsid w:val="00E232B8"/>
    <w:rsid w:val="00E2636C"/>
    <w:rsid w:val="00E31DC1"/>
    <w:rsid w:val="00E33426"/>
    <w:rsid w:val="00E410A2"/>
    <w:rsid w:val="00E439F5"/>
    <w:rsid w:val="00E476E2"/>
    <w:rsid w:val="00E55626"/>
    <w:rsid w:val="00E55AA0"/>
    <w:rsid w:val="00E609A1"/>
    <w:rsid w:val="00E64FFB"/>
    <w:rsid w:val="00E72B86"/>
    <w:rsid w:val="00E72CC3"/>
    <w:rsid w:val="00E72F74"/>
    <w:rsid w:val="00E74CF0"/>
    <w:rsid w:val="00E82355"/>
    <w:rsid w:val="00E87D55"/>
    <w:rsid w:val="00E92D86"/>
    <w:rsid w:val="00E936B6"/>
    <w:rsid w:val="00E94257"/>
    <w:rsid w:val="00EA33C8"/>
    <w:rsid w:val="00EB7BBD"/>
    <w:rsid w:val="00EC4464"/>
    <w:rsid w:val="00EC6BD4"/>
    <w:rsid w:val="00EC6EA0"/>
    <w:rsid w:val="00ED39DD"/>
    <w:rsid w:val="00ED44FD"/>
    <w:rsid w:val="00ED7A29"/>
    <w:rsid w:val="00EF1719"/>
    <w:rsid w:val="00EF3166"/>
    <w:rsid w:val="00EF32FF"/>
    <w:rsid w:val="00EF3BFE"/>
    <w:rsid w:val="00EF47D2"/>
    <w:rsid w:val="00F001EC"/>
    <w:rsid w:val="00F05A09"/>
    <w:rsid w:val="00F10863"/>
    <w:rsid w:val="00F10CF8"/>
    <w:rsid w:val="00F163AB"/>
    <w:rsid w:val="00F36F4A"/>
    <w:rsid w:val="00F416FD"/>
    <w:rsid w:val="00F50C4F"/>
    <w:rsid w:val="00F532EF"/>
    <w:rsid w:val="00F53D58"/>
    <w:rsid w:val="00F553D7"/>
    <w:rsid w:val="00F64FDF"/>
    <w:rsid w:val="00F65005"/>
    <w:rsid w:val="00F67A1E"/>
    <w:rsid w:val="00F725E0"/>
    <w:rsid w:val="00F765DB"/>
    <w:rsid w:val="00F802D0"/>
    <w:rsid w:val="00F8268D"/>
    <w:rsid w:val="00F865E9"/>
    <w:rsid w:val="00F90BCB"/>
    <w:rsid w:val="00F90FA1"/>
    <w:rsid w:val="00F91CA2"/>
    <w:rsid w:val="00F91FBC"/>
    <w:rsid w:val="00F95354"/>
    <w:rsid w:val="00FB1BD4"/>
    <w:rsid w:val="00FB2BD5"/>
    <w:rsid w:val="00FC3C91"/>
    <w:rsid w:val="00FE48E2"/>
    <w:rsid w:val="00FE6FE8"/>
    <w:rsid w:val="00F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66C0B6-AB4C-4581-8DD4-B9A6DC5E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7C6A"/>
  </w:style>
  <w:style w:type="table" w:customStyle="1" w:styleId="1">
    <w:name w:val="Сетка таблицы1"/>
    <w:basedOn w:val="a1"/>
    <w:next w:val="a5"/>
    <w:uiPriority w:val="59"/>
    <w:rsid w:val="00CE7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CE7C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CE7C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E7C6A"/>
    <w:rPr>
      <w:vertAlign w:val="superscript"/>
    </w:rPr>
  </w:style>
  <w:style w:type="table" w:styleId="a5">
    <w:name w:val="Table Grid"/>
    <w:basedOn w:val="a1"/>
    <w:uiPriority w:val="59"/>
    <w:rsid w:val="00CE7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7C6A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190D7D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190D7D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190D7D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ED7A2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D7A2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D7A2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D7A2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D7A29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D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7A29"/>
    <w:rPr>
      <w:rFonts w:ascii="Segoe UI" w:hAnsi="Segoe UI" w:cs="Segoe UI"/>
      <w:sz w:val="18"/>
      <w:szCs w:val="18"/>
    </w:rPr>
  </w:style>
  <w:style w:type="character" w:styleId="af4">
    <w:name w:val="Hyperlink"/>
    <w:basedOn w:val="a0"/>
    <w:uiPriority w:val="99"/>
    <w:unhideWhenUsed/>
    <w:rsid w:val="00290C26"/>
    <w:rPr>
      <w:color w:val="0563C1" w:themeColor="hyperlink"/>
      <w:u w:val="single"/>
    </w:rPr>
  </w:style>
  <w:style w:type="paragraph" w:styleId="af5">
    <w:name w:val="footer"/>
    <w:basedOn w:val="a"/>
    <w:link w:val="af6"/>
    <w:uiPriority w:val="99"/>
    <w:unhideWhenUsed/>
    <w:rsid w:val="00C33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C334D2"/>
  </w:style>
  <w:style w:type="character" w:customStyle="1" w:styleId="fontstyle01">
    <w:name w:val="fontstyle01"/>
    <w:basedOn w:val="a0"/>
    <w:rsid w:val="004A39C9"/>
    <w:rPr>
      <w:rFonts w:ascii="LiberationSerif-Bold" w:hAnsi="LiberationSerif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FC820-D20A-4743-A267-4922AD73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Сергей Пикунов</cp:lastModifiedBy>
  <cp:revision>31</cp:revision>
  <cp:lastPrinted>2020-01-10T10:19:00Z</cp:lastPrinted>
  <dcterms:created xsi:type="dcterms:W3CDTF">2021-01-18T05:29:00Z</dcterms:created>
  <dcterms:modified xsi:type="dcterms:W3CDTF">2021-01-20T08:13:00Z</dcterms:modified>
</cp:coreProperties>
</file>